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0" w:rsidRPr="005B4CE0" w:rsidRDefault="005B4CE0" w:rsidP="005B4CE0">
      <w:pPr>
        <w:pStyle w:val="1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Toc287887455"/>
      <w:r w:rsidRPr="005B4CE0">
        <w:rPr>
          <w:rFonts w:ascii="Times New Roman" w:hAnsi="Times New Roman"/>
          <w:color w:val="FF0000"/>
          <w:sz w:val="28"/>
          <w:szCs w:val="28"/>
        </w:rPr>
        <w:t>ОСНОВНЫЕ ПРАВИЛА ЗАПОЛНЕНИЯ БЛАНКОВ ЕГЭ</w:t>
      </w:r>
    </w:p>
    <w:p w:rsidR="005B4CE0" w:rsidRPr="00F83FFD" w:rsidRDefault="005B4CE0" w:rsidP="005B4CE0">
      <w:pPr>
        <w:pStyle w:val="ListParagraph"/>
        <w:spacing w:before="4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3FFD">
        <w:rPr>
          <w:sz w:val="28"/>
          <w:szCs w:val="28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F83FFD">
        <w:rPr>
          <w:sz w:val="28"/>
          <w:szCs w:val="28"/>
        </w:rPr>
        <w:t>гелевой</w:t>
      </w:r>
      <w:proofErr w:type="spellEnd"/>
      <w:r w:rsidRPr="00F83FFD">
        <w:rPr>
          <w:sz w:val="28"/>
          <w:szCs w:val="28"/>
        </w:rPr>
        <w:t xml:space="preserve"> или </w:t>
      </w:r>
      <w:proofErr w:type="gramStart"/>
      <w:r w:rsidRPr="00F83FFD">
        <w:rPr>
          <w:sz w:val="28"/>
          <w:szCs w:val="28"/>
        </w:rPr>
        <w:t>капиллярной</w:t>
      </w:r>
      <w:proofErr w:type="gramEnd"/>
      <w:r w:rsidRPr="00F83FFD">
        <w:rPr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 обводить 2 - 3 раза, чтобы исключить "проблески" по линии символов.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7FC3">
        <w:rPr>
          <w:sz w:val="28"/>
          <w:szCs w:val="28"/>
        </w:rPr>
        <w:t>Линия метки ("крестик")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27FC3">
        <w:rPr>
          <w:sz w:val="28"/>
          <w:szCs w:val="28"/>
        </w:rPr>
        <w:t xml:space="preserve">Участник ЕГЭ должен изображать каждую цифру и букву во всех заполняемых полях </w:t>
      </w:r>
      <w:hyperlink r:id="rId6" w:history="1">
        <w:r w:rsidRPr="00827FC3">
          <w:rPr>
            <w:sz w:val="28"/>
            <w:szCs w:val="28"/>
          </w:rPr>
          <w:t>бланка регистрации</w:t>
        </w:r>
      </w:hyperlink>
      <w:r w:rsidRPr="00827FC3">
        <w:rPr>
          <w:sz w:val="28"/>
          <w:szCs w:val="28"/>
        </w:rPr>
        <w:t xml:space="preserve">, бланка ответов </w:t>
      </w:r>
      <w:hyperlink r:id="rId7" w:history="1">
        <w:r w:rsidRPr="00827FC3">
          <w:rPr>
            <w:sz w:val="28"/>
            <w:szCs w:val="28"/>
          </w:rPr>
          <w:t>N 1</w:t>
        </w:r>
      </w:hyperlink>
      <w:r w:rsidRPr="00827FC3">
        <w:rPr>
          <w:sz w:val="28"/>
          <w:szCs w:val="28"/>
        </w:rPr>
        <w:t xml:space="preserve"> и верхней части бланка ответов </w:t>
      </w:r>
      <w:hyperlink r:id="rId8" w:history="1">
        <w:r w:rsidRPr="00827FC3">
          <w:rPr>
            <w:sz w:val="28"/>
            <w:szCs w:val="28"/>
          </w:rPr>
          <w:t>N 2</w:t>
        </w:r>
      </w:hyperlink>
      <w:r w:rsidRPr="00827FC3">
        <w:rPr>
          <w:sz w:val="28"/>
          <w:szCs w:val="28"/>
        </w:rPr>
        <w:t xml:space="preserve">, тщательно копируя образец ее написания из строки с образцами написания символов, расположенной в верхней части </w:t>
      </w:r>
      <w:hyperlink r:id="rId9" w:history="1">
        <w:r w:rsidRPr="00827FC3">
          <w:rPr>
            <w:sz w:val="28"/>
            <w:szCs w:val="28"/>
          </w:rPr>
          <w:t>бланка регистрации</w:t>
        </w:r>
      </w:hyperlink>
      <w:r w:rsidRPr="00827FC3">
        <w:rPr>
          <w:sz w:val="28"/>
          <w:szCs w:val="28"/>
        </w:rPr>
        <w:t xml:space="preserve"> и </w:t>
      </w:r>
      <w:hyperlink r:id="rId10" w:history="1">
        <w:r w:rsidRPr="00827FC3">
          <w:rPr>
            <w:sz w:val="28"/>
            <w:szCs w:val="28"/>
          </w:rPr>
          <w:t>бланка ответов N 1</w:t>
        </w:r>
      </w:hyperlink>
      <w:r w:rsidRPr="00827FC3">
        <w:rPr>
          <w:sz w:val="28"/>
          <w:szCs w:val="28"/>
        </w:rPr>
        <w:t>. Небрежное написание символов может привести к тому, что при автоматизированной обработке символ может</w:t>
      </w:r>
      <w:proofErr w:type="gramEnd"/>
      <w:r w:rsidRPr="00827FC3">
        <w:rPr>
          <w:sz w:val="28"/>
          <w:szCs w:val="28"/>
        </w:rPr>
        <w:t xml:space="preserve"> быть </w:t>
      </w:r>
      <w:proofErr w:type="gramStart"/>
      <w:r w:rsidRPr="00827FC3">
        <w:rPr>
          <w:sz w:val="28"/>
          <w:szCs w:val="28"/>
        </w:rPr>
        <w:t>распознан</w:t>
      </w:r>
      <w:proofErr w:type="gramEnd"/>
      <w:r w:rsidRPr="00827FC3">
        <w:rPr>
          <w:sz w:val="28"/>
          <w:szCs w:val="28"/>
        </w:rPr>
        <w:t xml:space="preserve"> неправильно.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7FC3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ЕГЭ).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7FC3">
        <w:rPr>
          <w:sz w:val="28"/>
          <w:szCs w:val="28"/>
        </w:rPr>
        <w:t>Если участник ЕГЭ не имеет информации для заполнения поля, он должен оставить его пустым (не делать прочерков).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27FC3">
        <w:rPr>
          <w:sz w:val="28"/>
          <w:szCs w:val="28"/>
        </w:rPr>
        <w:t>Категорически запрещается:</w:t>
      </w:r>
    </w:p>
    <w:p w:rsidR="005B4CE0" w:rsidRPr="005F6DD9" w:rsidRDefault="005B4CE0" w:rsidP="005B4CE0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F6DD9">
        <w:rPr>
          <w:sz w:val="28"/>
          <w:szCs w:val="28"/>
        </w:rPr>
        <w:t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</w:t>
      </w:r>
    </w:p>
    <w:p w:rsidR="005B4CE0" w:rsidRPr="005F6DD9" w:rsidRDefault="005B4CE0" w:rsidP="005B4CE0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F6DD9">
        <w:rPr>
          <w:sz w:val="28"/>
          <w:szCs w:val="28"/>
        </w:rPr>
        <w:t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("замазку" и др.).</w:t>
      </w:r>
    </w:p>
    <w:p w:rsidR="005B4CE0" w:rsidRPr="00827FC3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27FC3">
        <w:rPr>
          <w:sz w:val="28"/>
          <w:szCs w:val="28"/>
        </w:rPr>
        <w:t xml:space="preserve">На бланках ответов </w:t>
      </w:r>
      <w:hyperlink r:id="rId11" w:history="1">
        <w:r w:rsidRPr="00827FC3">
          <w:rPr>
            <w:sz w:val="28"/>
            <w:szCs w:val="28"/>
          </w:rPr>
          <w:t>N 1</w:t>
        </w:r>
      </w:hyperlink>
      <w:r w:rsidRPr="00827FC3">
        <w:rPr>
          <w:sz w:val="28"/>
          <w:szCs w:val="28"/>
        </w:rPr>
        <w:t xml:space="preserve"> и </w:t>
      </w:r>
      <w:hyperlink r:id="rId12" w:history="1">
        <w:r w:rsidRPr="00827FC3">
          <w:rPr>
            <w:sz w:val="28"/>
            <w:szCs w:val="28"/>
          </w:rPr>
          <w:t>N 2</w:t>
        </w:r>
      </w:hyperlink>
      <w:r w:rsidRPr="00827FC3">
        <w:rPr>
          <w:sz w:val="28"/>
          <w:szCs w:val="28"/>
        </w:rPr>
        <w:t>, а также на дополнительном бланке ответов N 2 не должно быть пометок, содержащих информацию о личности участника ЕГЭ.</w:t>
      </w:r>
    </w:p>
    <w:p w:rsidR="005B4CE0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27FC3"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контрольном измерительном материале (далее - КИМ).</w:t>
      </w:r>
    </w:p>
    <w:p w:rsidR="005B4CE0" w:rsidRPr="00294FA5" w:rsidRDefault="005B4CE0" w:rsidP="005B4CE0">
      <w:pPr>
        <w:spacing w:before="400"/>
        <w:ind w:firstLine="567"/>
        <w:jc w:val="both"/>
        <w:rPr>
          <w:b/>
          <w:sz w:val="28"/>
          <w:szCs w:val="28"/>
        </w:rPr>
      </w:pPr>
      <w:r w:rsidRPr="00294FA5">
        <w:rPr>
          <w:b/>
          <w:sz w:val="28"/>
          <w:szCs w:val="28"/>
        </w:rPr>
        <w:t>Заполнение бланка регистрации</w:t>
      </w:r>
    </w:p>
    <w:p w:rsidR="005B4CE0" w:rsidRPr="00294FA5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94FA5">
        <w:rPr>
          <w:sz w:val="28"/>
          <w:szCs w:val="28"/>
        </w:rPr>
        <w:t>По указанию ответственного организатора в аудитории участником ЕГЭ заполняются все поля верхней части бланка регистрации кроме полей для служебного использования</w:t>
      </w:r>
      <w:r>
        <w:rPr>
          <w:sz w:val="28"/>
          <w:szCs w:val="28"/>
        </w:rPr>
        <w:t>.</w:t>
      </w:r>
      <w:r w:rsidRPr="00294FA5">
        <w:rPr>
          <w:sz w:val="28"/>
          <w:szCs w:val="28"/>
        </w:rPr>
        <w:t xml:space="preserve"> В средней части бланка регистрации расположены поля для записи сведений об участнике ЕГЭ.</w:t>
      </w:r>
    </w:p>
    <w:p w:rsidR="005B4CE0" w:rsidRPr="00294FA5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94FA5">
        <w:rPr>
          <w:sz w:val="28"/>
          <w:szCs w:val="28"/>
        </w:rPr>
        <w:t>Поля средней части бланка регистрации заполняются участником ЕГЭ самостоятельно, кроме полей для служебного использования ("Резерв-2", "Резерв-3" и "Резерв-4"). Данные поля участником ЕГЭ не заполняются.</w:t>
      </w:r>
    </w:p>
    <w:p w:rsidR="005B4CE0" w:rsidRPr="00294FA5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4FA5">
        <w:rPr>
          <w:sz w:val="28"/>
          <w:szCs w:val="28"/>
        </w:rPr>
        <w:t>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ЕГЭ.</w:t>
      </w:r>
    </w:p>
    <w:p w:rsidR="005B4CE0" w:rsidRPr="00294FA5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294FA5">
        <w:rPr>
          <w:sz w:val="28"/>
          <w:szCs w:val="28"/>
        </w:rPr>
        <w:t>В нижней части бланка регистрации расположена область для отметок организатора в аудитории о фактах удаления участника ЕГЭ с экзамена</w:t>
      </w:r>
      <w:proofErr w:type="gramEnd"/>
      <w:r w:rsidRPr="00294FA5">
        <w:rPr>
          <w:sz w:val="28"/>
          <w:szCs w:val="28"/>
        </w:rPr>
        <w:t xml:space="preserve"> в связи с нарушением порядка проведения ЕГЭ, а также о том, что участник не закончил экзамен по уважительной причине</w:t>
      </w:r>
      <w:r>
        <w:rPr>
          <w:sz w:val="28"/>
          <w:szCs w:val="28"/>
        </w:rPr>
        <w:t>.</w:t>
      </w:r>
    </w:p>
    <w:p w:rsidR="005B4CE0" w:rsidRPr="00294FA5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94FA5">
        <w:rPr>
          <w:sz w:val="28"/>
          <w:szCs w:val="28"/>
        </w:rPr>
        <w:t>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("До начала работы с бланками ответов следует</w:t>
      </w:r>
      <w:proofErr w:type="gramStart"/>
      <w:r w:rsidRPr="00294FA5">
        <w:rPr>
          <w:sz w:val="28"/>
          <w:szCs w:val="28"/>
        </w:rPr>
        <w:t>:"</w:t>
      </w:r>
      <w:proofErr w:type="gramEnd"/>
      <w:r w:rsidRPr="00294FA5">
        <w:rPr>
          <w:sz w:val="28"/>
          <w:szCs w:val="28"/>
        </w:rPr>
        <w:t>) участник ЕГЭ ставит свою подпись в специально отведенном для этого поле.</w:t>
      </w:r>
    </w:p>
    <w:p w:rsidR="005B4CE0" w:rsidRPr="00724964" w:rsidRDefault="005B4CE0" w:rsidP="005B4CE0">
      <w:pPr>
        <w:spacing w:before="400"/>
        <w:ind w:firstLine="567"/>
        <w:jc w:val="both"/>
        <w:rPr>
          <w:b/>
          <w:sz w:val="28"/>
          <w:szCs w:val="28"/>
        </w:rPr>
      </w:pPr>
      <w:r w:rsidRPr="00724964">
        <w:rPr>
          <w:b/>
          <w:sz w:val="28"/>
          <w:szCs w:val="28"/>
        </w:rPr>
        <w:t>Заполнение бланка ответов N 1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24964">
        <w:rPr>
          <w:sz w:val="28"/>
          <w:szCs w:val="28"/>
        </w:rPr>
        <w:t>Область ответов на задания типа A состоит из горизонтального ряда номеров заданий КИМ. Под каждым номером задания расположен вертикальный столбик из четырех клеточек. Для того</w:t>
      </w:r>
      <w:proofErr w:type="gramStart"/>
      <w:r w:rsidRPr="00724964">
        <w:rPr>
          <w:sz w:val="28"/>
          <w:szCs w:val="28"/>
        </w:rPr>
        <w:t>,</w:t>
      </w:r>
      <w:proofErr w:type="gramEnd"/>
      <w:r w:rsidRPr="00724964">
        <w:rPr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("крестик") в ту клеточку, номер которой соответствует номеру выбранного им ответа. Образец написания метки приведен на бланке ответов N 1. Для удобства работы клеточки на левом и правом полях бланка ответов N 1 пронумерованы.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24964">
        <w:rPr>
          <w:sz w:val="28"/>
          <w:szCs w:val="28"/>
        </w:rPr>
        <w:t xml:space="preserve">В области ответов на задания типа A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 КИМ. Если не удалось избежать случайных пометок, их следует заменить в области "Замена ошибочных ответов на задания типа A" </w:t>
      </w:r>
      <w:proofErr w:type="gramStart"/>
      <w:r w:rsidRPr="00724964">
        <w:rPr>
          <w:sz w:val="28"/>
          <w:szCs w:val="28"/>
        </w:rPr>
        <w:t>на те</w:t>
      </w:r>
      <w:proofErr w:type="gramEnd"/>
      <w:r w:rsidRPr="00724964">
        <w:rPr>
          <w:sz w:val="28"/>
          <w:szCs w:val="28"/>
        </w:rPr>
        <w:t xml:space="preserve"> ответы, которые участник ЕГЭ считает правильными.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24964">
        <w:rPr>
          <w:sz w:val="28"/>
          <w:szCs w:val="28"/>
        </w:rPr>
        <w:t xml:space="preserve">При заполнении области ответов на задания типа A следует строго соблюдать инструкции по выполнению работы (к группе заданий, отдельным заданиям), приведенные </w:t>
      </w:r>
      <w:proofErr w:type="gramStart"/>
      <w:r w:rsidRPr="00724964">
        <w:rPr>
          <w:sz w:val="28"/>
          <w:szCs w:val="28"/>
        </w:rPr>
        <w:t>в</w:t>
      </w:r>
      <w:proofErr w:type="gramEnd"/>
      <w:r w:rsidRPr="00724964">
        <w:rPr>
          <w:sz w:val="28"/>
          <w:szCs w:val="28"/>
        </w:rPr>
        <w:t xml:space="preserve"> КИМ. В столбце, соответствующем номеру задания в области ответов на задания типа A,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24964">
        <w:rPr>
          <w:sz w:val="28"/>
          <w:szCs w:val="28"/>
        </w:rPr>
        <w:t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A</w:t>
      </w:r>
      <w:r>
        <w:rPr>
          <w:sz w:val="28"/>
          <w:szCs w:val="28"/>
        </w:rPr>
        <w:t>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24964">
        <w:rPr>
          <w:sz w:val="28"/>
          <w:szCs w:val="28"/>
        </w:rPr>
        <w:t xml:space="preserve">Заменить можно не более 12 (двенадцати) ошибочных ответов по всем заданиям типа A. Для этого в соответствующее поле области замены ошибочных ответов на задания типа A следует внести номер ошибочно заполненного задания, а </w:t>
      </w:r>
      <w:r w:rsidRPr="00724964">
        <w:rPr>
          <w:sz w:val="28"/>
          <w:szCs w:val="28"/>
        </w:rPr>
        <w:lastRenderedPageBreak/>
        <w:t>в строку клеточек внести метку верного ответа. В случае если в поля замены ошибочного ответа внесен несколько раз номер одного и того же задания, то будет учитываться последнее исправление (отсчет сверху вниз и слева направо).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24964">
        <w:rPr>
          <w:sz w:val="28"/>
          <w:szCs w:val="28"/>
        </w:rPr>
        <w:t>Ниже области замены ошибочных ответов на задания типа A размещены поля для записи ответов на задания типа B (задания с кратким ответом)</w:t>
      </w:r>
      <w:r>
        <w:rPr>
          <w:sz w:val="28"/>
          <w:szCs w:val="28"/>
        </w:rPr>
        <w:t>.</w:t>
      </w:r>
      <w:r w:rsidRPr="00047784">
        <w:rPr>
          <w:color w:val="FF0000"/>
          <w:sz w:val="28"/>
          <w:szCs w:val="28"/>
        </w:rPr>
        <w:t xml:space="preserve"> </w:t>
      </w:r>
      <w:r w:rsidRPr="00724964">
        <w:rPr>
          <w:sz w:val="28"/>
          <w:szCs w:val="28"/>
        </w:rPr>
        <w:t>Максимальное количество ответов - 20 (двадцать). Максимальное количество символов в одном ответе - 17 (семнадцать).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24964">
        <w:rPr>
          <w:sz w:val="28"/>
          <w:szCs w:val="28"/>
        </w:rPr>
        <w:t>Область ответов на задания типа B</w:t>
      </w:r>
      <w:r>
        <w:rPr>
          <w:sz w:val="28"/>
          <w:szCs w:val="28"/>
        </w:rPr>
        <w:t xml:space="preserve">. </w:t>
      </w:r>
      <w:r w:rsidRPr="00724964">
        <w:rPr>
          <w:sz w:val="28"/>
          <w:szCs w:val="28"/>
        </w:rPr>
        <w:t>Краткий ответ записывается справа от номера задания типа B в области ответов с названием "Результаты выполнения заданий типа B с ответом в краткой форме".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724964">
        <w:rPr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B никаких иных символов, кроме символов кириллицы, латиницы, арабских цифр, запятой и знака дефис (минус).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724964">
        <w:rPr>
          <w:sz w:val="28"/>
          <w:szCs w:val="28"/>
        </w:rPr>
        <w:t>Если требуется написать термин, состоящий из двух или более слов, то их нужно записать отдельно - через пробел или дефис (как требуют правила правописания), но не использовать какого-либо разделителя (запятая и пр.), если в инструкции по выполнению работы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 w:rsidRPr="00724964">
        <w:rPr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24964">
        <w:rPr>
          <w:sz w:val="28"/>
          <w:szCs w:val="28"/>
        </w:rPr>
        <w:t>Если числовой ответ получается в виде дроби, то ее следует округлить до целого числа по правилам округления, если в инструкции по выполнению работы не требуется записать ответ в виде десятичной дроби. Например: 2,3 округляется до 2; 2,5 - до 3; 2,7 - до 3. Это правило должно выполняться для тех заданий, для которых в инструкции по выполнению работы нет указаний, что ответ нужно дать в виде десятичной дроби.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24964">
        <w:rPr>
          <w:sz w:val="28"/>
          <w:szCs w:val="28"/>
        </w:rPr>
        <w:t>В ответе, записанном в виде десятичной дроби, в качестве разделителя следует указывать запятую.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24964">
        <w:rPr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т.д.). Недопустимы заголовки или комментарии к ответу.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724964">
        <w:rPr>
          <w:sz w:val="28"/>
          <w:szCs w:val="28"/>
        </w:rPr>
        <w:t>В нижней части бланка ответов N 1 предусмотрены поля для записи новых вариантов ответов на задания типа B взамен ошибочно записанных</w:t>
      </w:r>
      <w:r>
        <w:rPr>
          <w:sz w:val="28"/>
          <w:szCs w:val="28"/>
        </w:rPr>
        <w:t xml:space="preserve">. </w:t>
      </w:r>
      <w:r w:rsidRPr="00724964">
        <w:rPr>
          <w:sz w:val="28"/>
          <w:szCs w:val="28"/>
        </w:rPr>
        <w:t>Максимальное количество таких исправлений - 6 (шесть).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24964">
        <w:rPr>
          <w:sz w:val="28"/>
          <w:szCs w:val="28"/>
        </w:rPr>
        <w:t xml:space="preserve">Для </w:t>
      </w:r>
      <w:proofErr w:type="gramStart"/>
      <w:r w:rsidRPr="00724964">
        <w:rPr>
          <w:sz w:val="28"/>
          <w:szCs w:val="28"/>
        </w:rPr>
        <w:t>изменения</w:t>
      </w:r>
      <w:proofErr w:type="gramEnd"/>
      <w:r w:rsidRPr="00724964">
        <w:rPr>
          <w:sz w:val="28"/>
          <w:szCs w:val="28"/>
        </w:rPr>
        <w:t xml:space="preserve">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задание.</w:t>
      </w:r>
    </w:p>
    <w:p w:rsidR="005B4CE0" w:rsidRPr="00724964" w:rsidRDefault="005B4CE0" w:rsidP="005B4CE0">
      <w:pPr>
        <w:spacing w:before="400"/>
        <w:ind w:firstLine="567"/>
        <w:jc w:val="both"/>
        <w:rPr>
          <w:b/>
          <w:sz w:val="28"/>
          <w:szCs w:val="28"/>
        </w:rPr>
      </w:pPr>
      <w:r w:rsidRPr="00724964">
        <w:rPr>
          <w:b/>
          <w:sz w:val="28"/>
          <w:szCs w:val="28"/>
        </w:rPr>
        <w:t>Заполнение бланка ответов N 2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24964">
        <w:rPr>
          <w:sz w:val="28"/>
          <w:szCs w:val="28"/>
        </w:rPr>
        <w:t>Бланк ответов N 2 предназначен для записи ответов на задания с развернутым ответом</w:t>
      </w:r>
      <w:r>
        <w:rPr>
          <w:sz w:val="28"/>
          <w:szCs w:val="28"/>
        </w:rPr>
        <w:t>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24964">
        <w:rPr>
          <w:sz w:val="28"/>
          <w:szCs w:val="28"/>
        </w:rPr>
        <w:t xml:space="preserve">В верхней части бланка ответов </w:t>
      </w:r>
      <w:hyperlink r:id="rId13" w:history="1">
        <w:r w:rsidRPr="00724964">
          <w:rPr>
            <w:sz w:val="28"/>
            <w:szCs w:val="28"/>
          </w:rPr>
          <w:t>N 2</w:t>
        </w:r>
      </w:hyperlink>
      <w:r w:rsidRPr="00724964">
        <w:rPr>
          <w:sz w:val="28"/>
          <w:szCs w:val="28"/>
        </w:rPr>
        <w:t xml:space="preserve"> расположены вертикальный </w:t>
      </w:r>
      <w:proofErr w:type="spellStart"/>
      <w:r w:rsidRPr="00724964">
        <w:rPr>
          <w:sz w:val="28"/>
          <w:szCs w:val="28"/>
        </w:rPr>
        <w:t>штрихкод</w:t>
      </w:r>
      <w:proofErr w:type="spellEnd"/>
      <w:r w:rsidRPr="00724964">
        <w:rPr>
          <w:sz w:val="28"/>
          <w:szCs w:val="28"/>
        </w:rPr>
        <w:t xml:space="preserve">, горизонтальный </w:t>
      </w:r>
      <w:proofErr w:type="spellStart"/>
      <w:r w:rsidRPr="00724964">
        <w:rPr>
          <w:sz w:val="28"/>
          <w:szCs w:val="28"/>
        </w:rPr>
        <w:t>штрихкод</w:t>
      </w:r>
      <w:proofErr w:type="spellEnd"/>
      <w:r w:rsidRPr="00724964">
        <w:rPr>
          <w:sz w:val="28"/>
          <w:szCs w:val="28"/>
        </w:rPr>
        <w:t xml:space="preserve">, поля для рукописного занесения информации участником ЕГЭ, а также </w:t>
      </w:r>
      <w:hyperlink r:id="rId14" w:history="1">
        <w:r w:rsidRPr="00724964">
          <w:rPr>
            <w:sz w:val="28"/>
            <w:szCs w:val="28"/>
          </w:rPr>
          <w:t>поля</w:t>
        </w:r>
      </w:hyperlink>
      <w:r w:rsidRPr="00724964">
        <w:rPr>
          <w:sz w:val="28"/>
          <w:szCs w:val="28"/>
        </w:rPr>
        <w:t xml:space="preserve"> "Дополнительный бланк ответов N 2", "Лист N 1", "Резерв-8", которые участником ЕГЭ не заполняются.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31.. </w:t>
      </w:r>
      <w:r w:rsidRPr="00724964">
        <w:rPr>
          <w:sz w:val="28"/>
          <w:szCs w:val="28"/>
        </w:rPr>
        <w:t>Информация для заполнения полей верхней части бланка: код региона, код и название предмета - должна соответствовать информации, внесенной в бланк регистрации и бланк ответов N 1.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t xml:space="preserve">32. </w:t>
      </w:r>
      <w:hyperlink r:id="rId15" w:history="1">
        <w:r w:rsidRPr="00724964">
          <w:rPr>
            <w:sz w:val="28"/>
            <w:szCs w:val="28"/>
          </w:rPr>
          <w:t>Поле</w:t>
        </w:r>
      </w:hyperlink>
      <w:r w:rsidRPr="00724964">
        <w:rPr>
          <w:sz w:val="28"/>
          <w:szCs w:val="28"/>
        </w:rPr>
        <w:t xml:space="preserve"> "Дополнительный бланк ответов N 2" заполняет организатор в аудитории при выдаче дополнительного бланка ответов N 2, вписывая в это поле цифровое значение </w:t>
      </w:r>
      <w:proofErr w:type="spellStart"/>
      <w:r w:rsidRPr="00724964">
        <w:rPr>
          <w:sz w:val="28"/>
          <w:szCs w:val="28"/>
        </w:rPr>
        <w:t>штрихкода</w:t>
      </w:r>
      <w:proofErr w:type="spellEnd"/>
      <w:r w:rsidRPr="00724964">
        <w:rPr>
          <w:sz w:val="28"/>
          <w:szCs w:val="28"/>
        </w:rPr>
        <w:t xml:space="preserve"> дополнительного бланка ответов N 2 (расположенное под </w:t>
      </w:r>
      <w:proofErr w:type="spellStart"/>
      <w:r w:rsidRPr="00724964">
        <w:rPr>
          <w:sz w:val="28"/>
          <w:szCs w:val="28"/>
        </w:rPr>
        <w:t>шрихкодом</w:t>
      </w:r>
      <w:proofErr w:type="spellEnd"/>
      <w:r w:rsidRPr="00724964">
        <w:rPr>
          <w:sz w:val="28"/>
          <w:szCs w:val="28"/>
        </w:rPr>
        <w:t xml:space="preserve"> бланка), который выдается участнику ЕГЭ.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24964">
        <w:rPr>
          <w:sz w:val="28"/>
          <w:szCs w:val="28"/>
        </w:rPr>
        <w:t>Поле "Резерв-8" не заполняется.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724964">
        <w:rPr>
          <w:sz w:val="28"/>
          <w:szCs w:val="28"/>
        </w:rPr>
        <w:t xml:space="preserve">В нижней части бланка расположена область записи ответов на задания с ответом в развернутой форме (на задания типа C).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proofErr w:type="gramStart"/>
      <w:r w:rsidRPr="00724964">
        <w:rPr>
          <w:sz w:val="28"/>
          <w:szCs w:val="28"/>
        </w:rPr>
        <w:t>к</w:t>
      </w:r>
      <w:proofErr w:type="gramEnd"/>
      <w:r w:rsidRPr="00724964">
        <w:rPr>
          <w:sz w:val="28"/>
          <w:szCs w:val="28"/>
        </w:rPr>
        <w:t xml:space="preserve"> </w:t>
      </w:r>
      <w:proofErr w:type="gramStart"/>
      <w:r w:rsidRPr="00724964">
        <w:rPr>
          <w:sz w:val="28"/>
          <w:szCs w:val="28"/>
        </w:rPr>
        <w:t>КИМ</w:t>
      </w:r>
      <w:proofErr w:type="gramEnd"/>
      <w:r w:rsidRPr="00724964">
        <w:rPr>
          <w:sz w:val="28"/>
          <w:szCs w:val="28"/>
        </w:rPr>
        <w:t xml:space="preserve"> и отдельным заданиям КИМ.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24964">
        <w:rPr>
          <w:sz w:val="28"/>
          <w:szCs w:val="28"/>
        </w:rPr>
        <w:t xml:space="preserve">При недостатке места для ответов на лицевой стороне бланка ответов N 2 участник ЕГЭ может продолжить записи на оборотной стороне бланка, сделав внизу лицевой стороны запись "смотри на обороте". Для удобства все страницы бланка ответов </w:t>
      </w:r>
      <w:hyperlink r:id="rId16" w:history="1">
        <w:r w:rsidRPr="00724964">
          <w:rPr>
            <w:sz w:val="28"/>
            <w:szCs w:val="28"/>
          </w:rPr>
          <w:t>N 2</w:t>
        </w:r>
      </w:hyperlink>
      <w:r w:rsidRPr="00724964">
        <w:rPr>
          <w:sz w:val="28"/>
          <w:szCs w:val="28"/>
        </w:rPr>
        <w:t xml:space="preserve"> пронумерованы и разлинованы пунктирными линиями "в клеточку".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724964">
        <w:rPr>
          <w:sz w:val="28"/>
          <w:szCs w:val="28"/>
        </w:rPr>
        <w:t>При недостатке места для ответов на основном бланке ответов N 2 участник ЕГЭ может продолжить записи на дополнительном бланке ответов N 2, выдаваемом организатором в аудитории по требованию участника в случае, когда на основном бланке ответов N 2 не осталось места. В случае заполнения дополнительного бланка ответов N 2 при незаполненном основном бланке ответов N 2 ответы, внесенные в дополнительный бланк ответов N 2, оцениваться не будут.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t xml:space="preserve">37. </w:t>
      </w:r>
      <w:hyperlink r:id="rId17" w:history="1">
        <w:r w:rsidRPr="00724964">
          <w:rPr>
            <w:sz w:val="28"/>
            <w:szCs w:val="28"/>
          </w:rPr>
          <w:t>Дополнительный бланк</w:t>
        </w:r>
      </w:hyperlink>
      <w:r w:rsidRPr="00724964">
        <w:rPr>
          <w:sz w:val="28"/>
          <w:szCs w:val="28"/>
        </w:rPr>
        <w:t xml:space="preserve"> ответов N 2 выдается организатором в аудитории по требованию участника ЕГЭ в случае нехватки места для развернутых ответов.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38. </w:t>
      </w:r>
      <w:r w:rsidRPr="00724964">
        <w:rPr>
          <w:sz w:val="28"/>
          <w:szCs w:val="28"/>
        </w:rPr>
        <w:t xml:space="preserve">В </w:t>
      </w:r>
      <w:hyperlink r:id="rId18" w:history="1">
        <w:r w:rsidRPr="00724964">
          <w:rPr>
            <w:sz w:val="28"/>
            <w:szCs w:val="28"/>
          </w:rPr>
          <w:t>поле</w:t>
        </w:r>
      </w:hyperlink>
      <w:r w:rsidRPr="00724964">
        <w:rPr>
          <w:sz w:val="28"/>
          <w:szCs w:val="28"/>
        </w:rPr>
        <w:t xml:space="preserve"> "Лист N" организатор в аудитории при выдаче дополнительного бланка ответов N 2 вносит порядковый номер листа работы участника ЕГЭ (при этом листом N 1 является основной бланк ответов N 2, который участник ЕГЭ получил в составе индивидуального комплекта).</w:t>
      </w:r>
    </w:p>
    <w:p w:rsidR="005B4CE0" w:rsidRPr="00724964" w:rsidRDefault="005B4CE0" w:rsidP="005B4CE0">
      <w:pPr>
        <w:pStyle w:val="ListParagraph"/>
        <w:spacing w:before="20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724964">
        <w:rPr>
          <w:sz w:val="28"/>
          <w:szCs w:val="28"/>
        </w:rPr>
        <w:t>Ответы, внесенные в следующий дополнительный бланк ответов N 2, оцениваться не будут, если не полностью заполнены (или не заполнены совсем) основной бланк ответов N 2 и (или) ранее выданные дополнительные бланки ответов N 2.</w:t>
      </w:r>
      <w:bookmarkEnd w:id="0"/>
    </w:p>
    <w:p w:rsidR="005B4CE0" w:rsidRDefault="005B4CE0" w:rsidP="005B4CE0">
      <w:pPr>
        <w:ind w:firstLine="567"/>
      </w:pPr>
    </w:p>
    <w:p w:rsidR="00500350" w:rsidRDefault="00500350" w:rsidP="005B4CE0">
      <w:pPr>
        <w:ind w:firstLine="567"/>
      </w:pPr>
    </w:p>
    <w:sectPr w:rsidR="00500350" w:rsidSect="001025BE">
      <w:headerReference w:type="even" r:id="rId19"/>
      <w:footerReference w:type="default" r:id="rId2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BE" w:rsidRDefault="005B4C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025BE" w:rsidRDefault="005B4CE0">
    <w:pPr>
      <w:pStyle w:val="a6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BE" w:rsidRDefault="005B4C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5BE" w:rsidRDefault="005B4C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51C"/>
    <w:multiLevelType w:val="hybridMultilevel"/>
    <w:tmpl w:val="28F6C66C"/>
    <w:lvl w:ilvl="0" w:tplc="7D2202F8">
      <w:start w:val="1"/>
      <w:numFmt w:val="decimal"/>
      <w:lvlText w:val="5.%1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86B4B"/>
    <w:multiLevelType w:val="hybridMultilevel"/>
    <w:tmpl w:val="EC1EC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57D81"/>
    <w:multiLevelType w:val="hybridMultilevel"/>
    <w:tmpl w:val="0DA275F2"/>
    <w:lvl w:ilvl="0" w:tplc="ECDA003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CE0"/>
    <w:rsid w:val="00345734"/>
    <w:rsid w:val="00500350"/>
    <w:rsid w:val="005B4CE0"/>
    <w:rsid w:val="0094147C"/>
    <w:rsid w:val="00DD341F"/>
    <w:rsid w:val="00E6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CE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B4C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4C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4CE0"/>
    <w:rPr>
      <w:rFonts w:cs="Times New Roman"/>
    </w:rPr>
  </w:style>
  <w:style w:type="paragraph" w:customStyle="1" w:styleId="ListParagraph">
    <w:name w:val="List Paragraph"/>
    <w:basedOn w:val="a"/>
    <w:rsid w:val="005B4CE0"/>
    <w:pPr>
      <w:ind w:left="720"/>
      <w:contextualSpacing/>
    </w:pPr>
  </w:style>
  <w:style w:type="paragraph" w:styleId="a6">
    <w:name w:val="footer"/>
    <w:basedOn w:val="a"/>
    <w:link w:val="a7"/>
    <w:rsid w:val="005B4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4CE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E5F2A30158543D3206AA0FE2F3AEC170E84A49EC97325539EA0CA6FC9EF477CF59752DFA842bD16M" TargetMode="External"/><Relationship Id="rId13" Type="http://schemas.openxmlformats.org/officeDocument/2006/relationships/hyperlink" Target="consultantplus://offline/ref=65CE5F2A30158543D3206AA0FE2F3AEC170E84A49EC97325539EA0CA6FC9EF477CF59752DFAB47bD11M" TargetMode="External"/><Relationship Id="rId18" Type="http://schemas.openxmlformats.org/officeDocument/2006/relationships/hyperlink" Target="consultantplus://offline/ref=65CE5F2A30158543D3206AA0FE2F3AEC170E84A49EC97325539EA0CA6FC9EF477CF59752DFAB41bD1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CE5F2A30158543D3206AA0FE2F3AEC170E84A49EC97325539EA0CA6FC9EF477CF59752DFA846bD10M" TargetMode="External"/><Relationship Id="rId12" Type="http://schemas.openxmlformats.org/officeDocument/2006/relationships/hyperlink" Target="consultantplus://offline/ref=65CE5F2A30158543D3206AA0FE2F3AEC170E84A49EC97325539EA0CA6FC9EF477CF59752DFA842bD16M" TargetMode="External"/><Relationship Id="rId17" Type="http://schemas.openxmlformats.org/officeDocument/2006/relationships/hyperlink" Target="consultantplus://offline/ref=65CE5F2A30158543D3206AA0FE2F3AEC170E84A49EC97325539EA0CA6FC9EF477CF59752DFAB41bD1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CE5F2A30158543D3206AA0FE2F3AEC170E84A49EC97325539EA0CA6FC9EF477CF59752DFAB47bD11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CE5F2A30158543D3206AA0FE2F3AEC170E84A49EC97325539EA0CA6FC9EF477CF59752DFA844bD17M" TargetMode="External"/><Relationship Id="rId11" Type="http://schemas.openxmlformats.org/officeDocument/2006/relationships/hyperlink" Target="consultantplus://offline/ref=65CE5F2A30158543D3206AA0FE2F3AEC170E84A49EC97325539EA0CA6FC9EF477CF59752DFA846bD1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E5F2A30158543D3206AA0FE2F3AEC170E84A49EC97325539EA0CA6FC9EF477CF59752DFAB47bD13M" TargetMode="External"/><Relationship Id="rId10" Type="http://schemas.openxmlformats.org/officeDocument/2006/relationships/hyperlink" Target="consultantplus://offline/ref=65CE5F2A30158543D3206AA0FE2F3AEC170E84A49EC97325539EA0CA6FC9EF477CF59752DFA846bD13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E5F2A30158543D3206AA0FE2F3AEC170E84A49EC97325539EA0CA6FC9EF477CF59752DFA844bD10M" TargetMode="External"/><Relationship Id="rId14" Type="http://schemas.openxmlformats.org/officeDocument/2006/relationships/hyperlink" Target="consultantplus://offline/ref=65CE5F2A30158543D3206AA0FE2F3AEC170E84A49EC97325539EA0CA6FC9EF477CF59752DFAB47bD1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BCA6CC-5092-4CB6-B101-24EC954C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1833</Words>
  <Characters>10450</Characters>
  <Application>Microsoft Office Word</Application>
  <DocSecurity>0</DocSecurity>
  <Lines>87</Lines>
  <Paragraphs>24</Paragraphs>
  <ScaleCrop>false</ScaleCrop>
  <Company>МОУ СОШ № 24 г. Гуково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2013-04-17T08:14:00Z</dcterms:created>
  <dcterms:modified xsi:type="dcterms:W3CDTF">2013-04-17T08:17:00Z</dcterms:modified>
</cp:coreProperties>
</file>